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ADD" w:rsidRPr="00DF7815" w:rsidRDefault="00DF7815" w:rsidP="00DF7815">
      <w:pPr>
        <w:spacing w:line="600" w:lineRule="exact"/>
        <w:jc w:val="center"/>
        <w:rPr>
          <w:rFonts w:ascii="Calibri" w:eastAsia="標楷體" w:hAnsi="Calibri" w:cs="Times New Roman"/>
          <w:b/>
          <w:bCs/>
          <w:sz w:val="40"/>
          <w:szCs w:val="40"/>
        </w:rPr>
      </w:pPr>
      <w:bookmarkStart w:id="0" w:name="_GoBack"/>
      <w:r w:rsidRPr="00DF7815">
        <w:rPr>
          <w:rFonts w:ascii="Calibri" w:eastAsia="標楷體" w:hAnsi="Calibri" w:cs="Times New Roman" w:hint="eastAsia"/>
          <w:b/>
          <w:bCs/>
          <w:sz w:val="40"/>
          <w:szCs w:val="40"/>
        </w:rPr>
        <w:t>國家賠償法施行細則部分條文修正條文</w:t>
      </w:r>
    </w:p>
    <w:bookmarkEnd w:id="0"/>
    <w:p w:rsidR="00DF7815" w:rsidRDefault="00DF7815" w:rsidP="00DF7815">
      <w:pPr>
        <w:spacing w:line="600" w:lineRule="exact"/>
        <w:ind w:left="566" w:hangingChars="177" w:hanging="566"/>
        <w:jc w:val="both"/>
        <w:rPr>
          <w:rFonts w:ascii="標楷體" w:eastAsia="標楷體" w:hAnsi="標楷體" w:cs="Times New Roman"/>
          <w:sz w:val="32"/>
          <w:szCs w:val="32"/>
        </w:rPr>
      </w:pPr>
    </w:p>
    <w:p w:rsidR="00DF7815" w:rsidRPr="00DF7815" w:rsidRDefault="00DF7815" w:rsidP="00062F32">
      <w:pPr>
        <w:spacing w:line="600" w:lineRule="exact"/>
        <w:ind w:left="1699" w:hangingChars="531" w:hanging="1699"/>
        <w:jc w:val="both"/>
        <w:rPr>
          <w:rFonts w:ascii="標楷體" w:eastAsia="標楷體" w:hAnsi="標楷體" w:cs="Times New Roman"/>
          <w:sz w:val="32"/>
          <w:szCs w:val="32"/>
        </w:rPr>
      </w:pPr>
      <w:r w:rsidRPr="00DF7815">
        <w:rPr>
          <w:rFonts w:ascii="標楷體" w:eastAsia="標楷體" w:hAnsi="標楷體" w:cs="Times New Roman" w:hint="eastAsia"/>
          <w:sz w:val="32"/>
          <w:szCs w:val="32"/>
        </w:rPr>
        <w:t>第</w:t>
      </w:r>
      <w:r w:rsidR="00062F32">
        <w:rPr>
          <w:rFonts w:ascii="標楷體" w:eastAsia="標楷體" w:hAnsi="標楷體" w:cs="Times New Roman" w:hint="eastAsia"/>
          <w:sz w:val="32"/>
          <w:szCs w:val="32"/>
        </w:rPr>
        <w:t xml:space="preserve"> </w:t>
      </w:r>
      <w:r w:rsidRPr="00DF7815">
        <w:rPr>
          <w:rFonts w:ascii="標楷體" w:eastAsia="標楷體" w:hAnsi="標楷體" w:cs="Times New Roman" w:hint="eastAsia"/>
          <w:sz w:val="32"/>
          <w:szCs w:val="32"/>
        </w:rPr>
        <w:t>十六</w:t>
      </w:r>
      <w:r w:rsidR="00062F32">
        <w:rPr>
          <w:rFonts w:ascii="標楷體" w:eastAsia="標楷體" w:hAnsi="標楷體" w:cs="Times New Roman" w:hint="eastAsia"/>
          <w:sz w:val="32"/>
          <w:szCs w:val="32"/>
        </w:rPr>
        <w:t xml:space="preserve"> </w:t>
      </w:r>
      <w:r w:rsidRPr="00DF7815">
        <w:rPr>
          <w:rFonts w:ascii="標楷體" w:eastAsia="標楷體" w:hAnsi="標楷體" w:cs="Times New Roman" w:hint="eastAsia"/>
          <w:sz w:val="32"/>
          <w:szCs w:val="32"/>
        </w:rPr>
        <w:t>條</w:t>
      </w:r>
      <w:r w:rsidR="00062F32">
        <w:rPr>
          <w:rFonts w:ascii="標楷體" w:eastAsia="標楷體" w:hAnsi="標楷體" w:cs="Times New Roman" w:hint="eastAsia"/>
          <w:sz w:val="32"/>
          <w:szCs w:val="32"/>
        </w:rPr>
        <w:t xml:space="preserve">　　</w:t>
      </w:r>
      <w:r w:rsidRPr="00DF7815">
        <w:rPr>
          <w:rFonts w:ascii="標楷體" w:eastAsia="標楷體" w:hAnsi="標楷體" w:cs="Times New Roman" w:hint="eastAsia"/>
          <w:sz w:val="32"/>
          <w:szCs w:val="32"/>
        </w:rPr>
        <w:t>賠償義務機關應以書面通知為侵害行為之所屬公務員或受委託行使公權力之團體、個人，或公共設施因設置或管理有欠缺，致人民生命、身體、人身自由或財產受損害，而就損害原因有應負責之人，於協議期日到場陳述意見。</w:t>
      </w:r>
    </w:p>
    <w:p w:rsidR="00DF7815" w:rsidRPr="00DF7815" w:rsidRDefault="00DF7815" w:rsidP="00062F32">
      <w:pPr>
        <w:kinsoku w:val="0"/>
        <w:overflowPunct w:val="0"/>
        <w:autoSpaceDE w:val="0"/>
        <w:autoSpaceDN w:val="0"/>
        <w:adjustRightInd w:val="0"/>
        <w:spacing w:line="600" w:lineRule="exact"/>
        <w:ind w:left="1699" w:hangingChars="531" w:hanging="1699"/>
        <w:jc w:val="both"/>
        <w:rPr>
          <w:rFonts w:ascii="標楷體" w:eastAsia="標楷體" w:cs="標楷體"/>
          <w:kern w:val="0"/>
          <w:sz w:val="32"/>
          <w:szCs w:val="32"/>
          <w:lang w:val="zh-TW"/>
        </w:rPr>
      </w:pPr>
      <w:r w:rsidRPr="00DF7815">
        <w:rPr>
          <w:rFonts w:ascii="標楷體" w:eastAsia="標楷體" w:cs="標楷體" w:hint="eastAsia"/>
          <w:kern w:val="0"/>
          <w:sz w:val="32"/>
          <w:szCs w:val="32"/>
          <w:lang w:val="zh-TW"/>
        </w:rPr>
        <w:t>第二十四條</w:t>
      </w:r>
      <w:r w:rsidR="00062F32">
        <w:rPr>
          <w:rFonts w:ascii="標楷體" w:eastAsia="標楷體" w:cs="標楷體" w:hint="eastAsia"/>
          <w:kern w:val="0"/>
          <w:sz w:val="32"/>
          <w:szCs w:val="32"/>
          <w:lang w:val="zh-TW"/>
        </w:rPr>
        <w:t xml:space="preserve">　　</w:t>
      </w:r>
      <w:r w:rsidRPr="00DF7815">
        <w:rPr>
          <w:rFonts w:ascii="標楷體" w:eastAsia="標楷體" w:cs="標楷體" w:hint="eastAsia"/>
          <w:kern w:val="0"/>
          <w:sz w:val="32"/>
          <w:szCs w:val="32"/>
          <w:lang w:val="zh-TW"/>
        </w:rPr>
        <w:t>賠償義務機關得在一定</w:t>
      </w:r>
      <w:r w:rsidRPr="00DF7815">
        <w:rPr>
          <w:rFonts w:ascii="標楷體" w:eastAsia="標楷體" w:hAnsi="標楷體" w:cs="Times New Roman" w:hint="eastAsia"/>
          <w:sz w:val="32"/>
          <w:szCs w:val="32"/>
        </w:rPr>
        <w:t>金額</w:t>
      </w:r>
      <w:r w:rsidRPr="00DF7815">
        <w:rPr>
          <w:rFonts w:ascii="標楷體" w:eastAsia="標楷體" w:cs="標楷體" w:hint="eastAsia"/>
          <w:kern w:val="0"/>
          <w:sz w:val="32"/>
          <w:szCs w:val="32"/>
          <w:lang w:val="zh-TW"/>
        </w:rPr>
        <w:t>限度內，逕行決定賠償金額。</w:t>
      </w:r>
    </w:p>
    <w:p w:rsidR="00DF7815" w:rsidRPr="00DF7815" w:rsidRDefault="00DF7815" w:rsidP="00062F32">
      <w:pPr>
        <w:spacing w:line="600" w:lineRule="exact"/>
        <w:ind w:leftChars="708" w:left="1699" w:firstLineChars="176" w:firstLine="563"/>
        <w:jc w:val="both"/>
        <w:rPr>
          <w:rFonts w:ascii="標楷體" w:eastAsia="標楷體" w:cs="標楷體"/>
          <w:kern w:val="0"/>
          <w:sz w:val="32"/>
          <w:szCs w:val="32"/>
          <w:lang w:val="zh-TW"/>
        </w:rPr>
      </w:pPr>
      <w:r w:rsidRPr="00DF7815">
        <w:rPr>
          <w:rFonts w:ascii="標楷體" w:eastAsia="標楷體" w:cs="標楷體" w:hint="eastAsia"/>
          <w:kern w:val="0"/>
          <w:sz w:val="32"/>
          <w:szCs w:val="32"/>
          <w:lang w:val="zh-TW"/>
        </w:rPr>
        <w:t>前項金額限度，中央政府各機關，由</w:t>
      </w:r>
      <w:r w:rsidRPr="00DF7815">
        <w:rPr>
          <w:rFonts w:ascii="標楷體" w:eastAsia="標楷體" w:hAnsi="標楷體" w:hint="eastAsia"/>
          <w:sz w:val="32"/>
          <w:szCs w:val="32"/>
        </w:rPr>
        <w:t>行政院</w:t>
      </w:r>
      <w:r w:rsidRPr="00DF7815">
        <w:rPr>
          <w:rFonts w:ascii="標楷體" w:eastAsia="標楷體" w:cs="標楷體" w:hint="eastAsia"/>
          <w:kern w:val="0"/>
          <w:sz w:val="32"/>
          <w:szCs w:val="32"/>
          <w:lang w:val="zh-TW"/>
        </w:rPr>
        <w:t>依機關等級定之；縣</w:t>
      </w:r>
      <w:r w:rsidRPr="00DF7815">
        <w:rPr>
          <w:rFonts w:ascii="標楷體" w:eastAsia="標楷體" w:cs="標楷體"/>
          <w:kern w:val="0"/>
          <w:sz w:val="32"/>
          <w:szCs w:val="32"/>
          <w:lang w:val="zh-TW"/>
        </w:rPr>
        <w:t xml:space="preserve"> (</w:t>
      </w:r>
      <w:r w:rsidRPr="00DF7815">
        <w:rPr>
          <w:rFonts w:ascii="標楷體" w:eastAsia="標楷體" w:cs="標楷體" w:hint="eastAsia"/>
          <w:kern w:val="0"/>
          <w:sz w:val="32"/>
          <w:szCs w:val="32"/>
          <w:lang w:val="zh-TW"/>
        </w:rPr>
        <w:t>市</w:t>
      </w:r>
      <w:r w:rsidRPr="00DF7815">
        <w:rPr>
          <w:rFonts w:ascii="標楷體" w:eastAsia="標楷體" w:cs="標楷體"/>
          <w:kern w:val="0"/>
          <w:sz w:val="32"/>
          <w:szCs w:val="32"/>
          <w:lang w:val="zh-TW"/>
        </w:rPr>
        <w:t xml:space="preserve">) </w:t>
      </w:r>
      <w:r w:rsidRPr="00DF7815">
        <w:rPr>
          <w:rFonts w:ascii="標楷體" w:eastAsia="標楷體" w:cs="標楷體" w:hint="eastAsia"/>
          <w:kern w:val="0"/>
          <w:sz w:val="32"/>
          <w:szCs w:val="32"/>
          <w:lang w:val="zh-TW"/>
        </w:rPr>
        <w:t>、鄉</w:t>
      </w:r>
      <w:r w:rsidRPr="00DF7815">
        <w:rPr>
          <w:rFonts w:ascii="標楷體" w:eastAsia="標楷體" w:cs="標楷體"/>
          <w:kern w:val="0"/>
          <w:sz w:val="32"/>
          <w:szCs w:val="32"/>
          <w:lang w:val="zh-TW"/>
        </w:rPr>
        <w:t xml:space="preserve"> (</w:t>
      </w:r>
      <w:r w:rsidRPr="00DF7815">
        <w:rPr>
          <w:rFonts w:ascii="標楷體" w:eastAsia="標楷體" w:cs="標楷體" w:hint="eastAsia"/>
          <w:kern w:val="0"/>
          <w:sz w:val="32"/>
          <w:szCs w:val="32"/>
          <w:lang w:val="zh-TW"/>
        </w:rPr>
        <w:t>鎮、市</w:t>
      </w:r>
      <w:r w:rsidRPr="00DF7815">
        <w:rPr>
          <w:rFonts w:ascii="標楷體" w:eastAsia="標楷體" w:cs="標楷體"/>
          <w:kern w:val="0"/>
          <w:sz w:val="32"/>
          <w:szCs w:val="32"/>
          <w:lang w:val="zh-TW"/>
        </w:rPr>
        <w:t xml:space="preserve">) </w:t>
      </w:r>
      <w:r w:rsidRPr="00DF7815">
        <w:rPr>
          <w:rFonts w:ascii="標楷體" w:eastAsia="標楷體" w:cs="標楷體" w:hint="eastAsia"/>
          <w:kern w:val="0"/>
          <w:sz w:val="32"/>
          <w:szCs w:val="32"/>
          <w:lang w:val="zh-TW"/>
        </w:rPr>
        <w:t>，由縣</w:t>
      </w:r>
      <w:r w:rsidRPr="00DF7815">
        <w:rPr>
          <w:rFonts w:ascii="標楷體" w:eastAsia="標楷體" w:cs="標楷體"/>
          <w:kern w:val="0"/>
          <w:sz w:val="32"/>
          <w:szCs w:val="32"/>
          <w:lang w:val="zh-TW"/>
        </w:rPr>
        <w:t xml:space="preserve"> (</w:t>
      </w:r>
      <w:r w:rsidRPr="00DF7815">
        <w:rPr>
          <w:rFonts w:ascii="標楷體" w:eastAsia="標楷體" w:cs="標楷體" w:hint="eastAsia"/>
          <w:kern w:val="0"/>
          <w:sz w:val="32"/>
          <w:szCs w:val="32"/>
          <w:lang w:val="zh-TW"/>
        </w:rPr>
        <w:t>市</w:t>
      </w:r>
      <w:r w:rsidRPr="00DF7815">
        <w:rPr>
          <w:rFonts w:ascii="標楷體" w:eastAsia="標楷體" w:cs="標楷體"/>
          <w:kern w:val="0"/>
          <w:sz w:val="32"/>
          <w:szCs w:val="32"/>
          <w:lang w:val="zh-TW"/>
        </w:rPr>
        <w:t xml:space="preserve">) </w:t>
      </w:r>
      <w:r w:rsidRPr="00DF7815">
        <w:rPr>
          <w:rFonts w:ascii="標楷體" w:eastAsia="標楷體" w:cs="標楷體" w:hint="eastAsia"/>
          <w:kern w:val="0"/>
          <w:sz w:val="32"/>
          <w:szCs w:val="32"/>
          <w:lang w:val="zh-TW"/>
        </w:rPr>
        <w:t>定之；直轄市，由其自行定之。</w:t>
      </w:r>
    </w:p>
    <w:p w:rsidR="00DF7815" w:rsidRPr="00DF7815" w:rsidRDefault="00DF7815" w:rsidP="00062F32">
      <w:pPr>
        <w:kinsoku w:val="0"/>
        <w:overflowPunct w:val="0"/>
        <w:autoSpaceDE w:val="0"/>
        <w:autoSpaceDN w:val="0"/>
        <w:adjustRightInd w:val="0"/>
        <w:spacing w:line="600" w:lineRule="exact"/>
        <w:ind w:left="1699" w:hangingChars="531" w:hanging="1699"/>
        <w:jc w:val="both"/>
        <w:rPr>
          <w:rFonts w:ascii="標楷體" w:eastAsia="標楷體" w:cs="標楷體"/>
          <w:kern w:val="0"/>
          <w:sz w:val="32"/>
          <w:szCs w:val="32"/>
          <w:lang w:val="zh-TW"/>
        </w:rPr>
      </w:pPr>
      <w:r w:rsidRPr="00DF7815">
        <w:rPr>
          <w:rFonts w:ascii="標楷體" w:eastAsia="標楷體" w:cs="標楷體" w:hint="eastAsia"/>
          <w:kern w:val="0"/>
          <w:sz w:val="32"/>
          <w:szCs w:val="32"/>
          <w:lang w:val="zh-TW"/>
        </w:rPr>
        <w:t>第二十八條</w:t>
      </w:r>
      <w:r w:rsidR="00062F32">
        <w:rPr>
          <w:rFonts w:ascii="標楷體" w:eastAsia="標楷體" w:cs="標楷體" w:hint="eastAsia"/>
          <w:kern w:val="0"/>
          <w:sz w:val="32"/>
          <w:szCs w:val="32"/>
          <w:lang w:val="zh-TW"/>
        </w:rPr>
        <w:t xml:space="preserve">　　</w:t>
      </w:r>
      <w:r w:rsidRPr="00DF7815">
        <w:rPr>
          <w:rFonts w:ascii="標楷體" w:eastAsia="標楷體" w:cs="標楷體" w:hint="eastAsia"/>
          <w:kern w:val="0"/>
          <w:sz w:val="32"/>
          <w:szCs w:val="32"/>
          <w:lang w:val="zh-TW"/>
        </w:rPr>
        <w:t>協議文書得由賠償義務機關派員或交由郵務機構送達，並應由送達人作成送達證書。</w:t>
      </w:r>
    </w:p>
    <w:p w:rsidR="00DF7815" w:rsidRPr="00DF7815" w:rsidRDefault="00DF7815" w:rsidP="00062F32">
      <w:pPr>
        <w:spacing w:line="600" w:lineRule="exact"/>
        <w:ind w:leftChars="708" w:left="1699" w:firstLineChars="176" w:firstLine="563"/>
        <w:jc w:val="both"/>
        <w:rPr>
          <w:rFonts w:ascii="標楷體" w:eastAsia="標楷體" w:cs="標楷體"/>
          <w:kern w:val="0"/>
          <w:sz w:val="32"/>
          <w:szCs w:val="32"/>
          <w:lang w:val="zh-TW"/>
        </w:rPr>
      </w:pPr>
      <w:r w:rsidRPr="00DF7815">
        <w:rPr>
          <w:rFonts w:ascii="標楷體" w:eastAsia="標楷體" w:cs="標楷體" w:hint="eastAsia"/>
          <w:kern w:val="0"/>
          <w:sz w:val="32"/>
          <w:szCs w:val="32"/>
          <w:lang w:val="zh-TW"/>
        </w:rPr>
        <w:t>協議文書之送達，除前項規定外，準用民事訴訟法關於送達之規定。</w:t>
      </w:r>
    </w:p>
    <w:p w:rsidR="00DF7815" w:rsidRPr="00DF7815" w:rsidRDefault="00DF7815" w:rsidP="00062F32">
      <w:pPr>
        <w:kinsoku w:val="0"/>
        <w:overflowPunct w:val="0"/>
        <w:autoSpaceDE w:val="0"/>
        <w:autoSpaceDN w:val="0"/>
        <w:adjustRightInd w:val="0"/>
        <w:spacing w:line="600" w:lineRule="exact"/>
        <w:ind w:left="1558" w:hangingChars="487" w:hanging="1558"/>
        <w:jc w:val="both"/>
        <w:rPr>
          <w:rFonts w:ascii="標楷體" w:eastAsia="標楷體" w:hAnsi="標楷體" w:cs="Times New Roman"/>
          <w:sz w:val="32"/>
          <w:szCs w:val="32"/>
        </w:rPr>
      </w:pPr>
      <w:r w:rsidRPr="00DF7815">
        <w:rPr>
          <w:rFonts w:ascii="標楷體" w:eastAsia="標楷體" w:hAnsi="標楷體" w:cs="Times New Roman" w:hint="eastAsia"/>
          <w:sz w:val="32"/>
          <w:szCs w:val="32"/>
        </w:rPr>
        <w:t>第四十一條</w:t>
      </w:r>
      <w:r w:rsidR="00062F32">
        <w:rPr>
          <w:rFonts w:ascii="標楷體" w:eastAsia="標楷體" w:hAnsi="標楷體" w:cs="Times New Roman" w:hint="eastAsia"/>
          <w:sz w:val="32"/>
          <w:szCs w:val="32"/>
        </w:rPr>
        <w:t xml:space="preserve">　　</w:t>
      </w:r>
      <w:r w:rsidRPr="00DF7815">
        <w:rPr>
          <w:rFonts w:ascii="標楷體" w:eastAsia="標楷體" w:hAnsi="標楷體" w:cs="Times New Roman" w:hint="eastAsia"/>
          <w:sz w:val="32"/>
          <w:szCs w:val="32"/>
        </w:rPr>
        <w:t>本法第二條第三項，第四條第二項所定之故意或重大過失，賠償義務機關應審慎認定之。</w:t>
      </w:r>
    </w:p>
    <w:p w:rsidR="00DF7815" w:rsidRPr="00DF7815" w:rsidRDefault="00DF7815" w:rsidP="00062F32">
      <w:pPr>
        <w:kinsoku w:val="0"/>
        <w:overflowPunct w:val="0"/>
        <w:autoSpaceDE w:val="0"/>
        <w:autoSpaceDN w:val="0"/>
        <w:adjustRightInd w:val="0"/>
        <w:spacing w:line="600" w:lineRule="exact"/>
        <w:ind w:leftChars="650" w:left="1560" w:firstLineChars="221" w:firstLine="707"/>
        <w:jc w:val="both"/>
        <w:rPr>
          <w:rFonts w:ascii="標楷體" w:eastAsia="標楷體" w:hAnsi="標楷體" w:cs="Times New Roman"/>
          <w:sz w:val="32"/>
          <w:szCs w:val="32"/>
        </w:rPr>
      </w:pPr>
      <w:r w:rsidRPr="00DF7815">
        <w:rPr>
          <w:rFonts w:ascii="標楷體" w:eastAsia="標楷體" w:hAnsi="標楷體" w:cs="Times New Roman" w:hint="eastAsia"/>
          <w:sz w:val="32"/>
          <w:szCs w:val="32"/>
        </w:rPr>
        <w:t>賠償義務機關依本法第二條第三項、第三條第</w:t>
      </w:r>
      <w:r w:rsidRPr="00B10D85">
        <w:rPr>
          <w:rFonts w:ascii="標楷體" w:eastAsia="標楷體" w:hAnsi="標楷體" w:cs="Times New Roman" w:hint="eastAsia"/>
          <w:sz w:val="32"/>
          <w:szCs w:val="32"/>
        </w:rPr>
        <w:t>五</w:t>
      </w:r>
      <w:r w:rsidRPr="00DF7815">
        <w:rPr>
          <w:rFonts w:ascii="標楷體" w:eastAsia="標楷體" w:hAnsi="標楷體" w:cs="Times New Roman" w:hint="eastAsia"/>
          <w:sz w:val="32"/>
          <w:szCs w:val="32"/>
        </w:rPr>
        <w:t>項或第四條第二項規定行使求償權前，得清查被求償之個人或團體可供執行之財產，並於必要時依法聲請保全措施。</w:t>
      </w:r>
    </w:p>
    <w:p w:rsidR="00DF7815" w:rsidRPr="00DF7815" w:rsidRDefault="00DF7815" w:rsidP="00062F32">
      <w:pPr>
        <w:kinsoku w:val="0"/>
        <w:overflowPunct w:val="0"/>
        <w:autoSpaceDE w:val="0"/>
        <w:autoSpaceDN w:val="0"/>
        <w:adjustRightInd w:val="0"/>
        <w:spacing w:line="600" w:lineRule="exact"/>
        <w:ind w:leftChars="650" w:left="1560" w:firstLineChars="219" w:firstLine="701"/>
        <w:jc w:val="both"/>
        <w:rPr>
          <w:rFonts w:ascii="標楷體" w:eastAsia="標楷體" w:hAnsi="標楷體" w:cs="Times New Roman"/>
          <w:sz w:val="32"/>
          <w:szCs w:val="32"/>
        </w:rPr>
      </w:pPr>
      <w:r w:rsidRPr="00DF7815">
        <w:rPr>
          <w:rFonts w:ascii="標楷體" w:eastAsia="標楷體" w:hAnsi="標楷體" w:cs="Times New Roman" w:hint="eastAsia"/>
          <w:sz w:val="32"/>
          <w:szCs w:val="32"/>
        </w:rPr>
        <w:t>賠償義務機關依本法第二條第三項、第三條第</w:t>
      </w:r>
      <w:r w:rsidRPr="00B10D85">
        <w:rPr>
          <w:rFonts w:ascii="標楷體" w:eastAsia="標楷體" w:hAnsi="標楷體" w:cs="Times New Roman" w:hint="eastAsia"/>
          <w:sz w:val="32"/>
          <w:szCs w:val="32"/>
        </w:rPr>
        <w:lastRenderedPageBreak/>
        <w:t>五</w:t>
      </w:r>
      <w:r w:rsidRPr="00DF7815">
        <w:rPr>
          <w:rFonts w:ascii="標楷體" w:eastAsia="標楷體" w:hAnsi="標楷體" w:cs="Times New Roman" w:hint="eastAsia"/>
          <w:sz w:val="32"/>
          <w:szCs w:val="32"/>
        </w:rPr>
        <w:t>項或第四條第二項規定行使求償權時，應先與被求償之個人或團體進行協商，並得酌情許其提供擔保分期給付。</w:t>
      </w:r>
    </w:p>
    <w:p w:rsidR="00DF7815" w:rsidRPr="00DF7815" w:rsidRDefault="00DF7815" w:rsidP="00062F32">
      <w:pPr>
        <w:kinsoku w:val="0"/>
        <w:overflowPunct w:val="0"/>
        <w:autoSpaceDE w:val="0"/>
        <w:autoSpaceDN w:val="0"/>
        <w:adjustRightInd w:val="0"/>
        <w:spacing w:line="600" w:lineRule="exact"/>
        <w:ind w:leftChars="590" w:left="1416" w:firstLineChars="220" w:firstLine="704"/>
        <w:jc w:val="both"/>
        <w:rPr>
          <w:rFonts w:ascii="細明體" w:eastAsia="細明體" w:cs="細明體"/>
          <w:kern w:val="0"/>
          <w:sz w:val="32"/>
          <w:szCs w:val="32"/>
          <w:lang w:val="zh-TW"/>
        </w:rPr>
      </w:pPr>
      <w:r w:rsidRPr="00DF7815">
        <w:rPr>
          <w:rFonts w:ascii="標楷體" w:eastAsia="標楷體" w:hAnsi="標楷體" w:cs="Times New Roman" w:hint="eastAsia"/>
          <w:sz w:val="32"/>
          <w:szCs w:val="32"/>
        </w:rPr>
        <w:t>前項協商如不成立，賠償義務機關應依訴訟程序行使求償權。</w:t>
      </w:r>
    </w:p>
    <w:p w:rsidR="00DF7815" w:rsidRPr="00DF7815" w:rsidRDefault="00DF7815" w:rsidP="00DF7815">
      <w:pPr>
        <w:spacing w:line="600" w:lineRule="exact"/>
        <w:jc w:val="both"/>
        <w:rPr>
          <w:sz w:val="32"/>
          <w:szCs w:val="32"/>
        </w:rPr>
      </w:pPr>
    </w:p>
    <w:sectPr w:rsidR="00DF7815" w:rsidRPr="00DF7815" w:rsidSect="00DF7815">
      <w:pgSz w:w="11906" w:h="16838"/>
      <w:pgMar w:top="1440" w:right="1558"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2AF" w:rsidRDefault="00F002AF" w:rsidP="00B10D85">
      <w:r>
        <w:separator/>
      </w:r>
    </w:p>
  </w:endnote>
  <w:endnote w:type="continuationSeparator" w:id="0">
    <w:p w:rsidR="00F002AF" w:rsidRDefault="00F002AF" w:rsidP="00B10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2AF" w:rsidRDefault="00F002AF" w:rsidP="00B10D85">
      <w:r>
        <w:separator/>
      </w:r>
    </w:p>
  </w:footnote>
  <w:footnote w:type="continuationSeparator" w:id="0">
    <w:p w:rsidR="00F002AF" w:rsidRDefault="00F002AF" w:rsidP="00B10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15"/>
    <w:rsid w:val="00062F32"/>
    <w:rsid w:val="00227A99"/>
    <w:rsid w:val="009E5764"/>
    <w:rsid w:val="00AC62E8"/>
    <w:rsid w:val="00B10D85"/>
    <w:rsid w:val="00C224E4"/>
    <w:rsid w:val="00DF7815"/>
    <w:rsid w:val="00E93ADD"/>
    <w:rsid w:val="00F002AF"/>
    <w:rsid w:val="00FE38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7BBE87-398C-42DF-8366-24E90084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0D85"/>
    <w:pPr>
      <w:tabs>
        <w:tab w:val="center" w:pos="4153"/>
        <w:tab w:val="right" w:pos="8306"/>
      </w:tabs>
      <w:snapToGrid w:val="0"/>
    </w:pPr>
    <w:rPr>
      <w:sz w:val="20"/>
      <w:szCs w:val="20"/>
    </w:rPr>
  </w:style>
  <w:style w:type="character" w:customStyle="1" w:styleId="a4">
    <w:name w:val="頁首 字元"/>
    <w:basedOn w:val="a0"/>
    <w:link w:val="a3"/>
    <w:uiPriority w:val="99"/>
    <w:rsid w:val="00B10D85"/>
    <w:rPr>
      <w:sz w:val="20"/>
      <w:szCs w:val="20"/>
    </w:rPr>
  </w:style>
  <w:style w:type="paragraph" w:styleId="a5">
    <w:name w:val="footer"/>
    <w:basedOn w:val="a"/>
    <w:link w:val="a6"/>
    <w:uiPriority w:val="99"/>
    <w:unhideWhenUsed/>
    <w:rsid w:val="00B10D85"/>
    <w:pPr>
      <w:tabs>
        <w:tab w:val="center" w:pos="4153"/>
        <w:tab w:val="right" w:pos="8306"/>
      </w:tabs>
      <w:snapToGrid w:val="0"/>
    </w:pPr>
    <w:rPr>
      <w:sz w:val="20"/>
      <w:szCs w:val="20"/>
    </w:rPr>
  </w:style>
  <w:style w:type="character" w:customStyle="1" w:styleId="a6">
    <w:name w:val="頁尾 字元"/>
    <w:basedOn w:val="a0"/>
    <w:link w:val="a5"/>
    <w:uiPriority w:val="99"/>
    <w:rsid w:val="00B10D85"/>
    <w:rPr>
      <w:sz w:val="20"/>
      <w:szCs w:val="20"/>
    </w:rPr>
  </w:style>
  <w:style w:type="paragraph" w:styleId="a7">
    <w:name w:val="Balloon Text"/>
    <w:basedOn w:val="a"/>
    <w:link w:val="a8"/>
    <w:uiPriority w:val="99"/>
    <w:semiHidden/>
    <w:unhideWhenUsed/>
    <w:rsid w:val="00062F3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62F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徐吉志</dc:creator>
  <cp:keywords/>
  <dc:description/>
  <cp:lastModifiedBy>user</cp:lastModifiedBy>
  <cp:revision>2</cp:revision>
  <cp:lastPrinted>2020-06-03T02:05:00Z</cp:lastPrinted>
  <dcterms:created xsi:type="dcterms:W3CDTF">2020-06-19T01:55:00Z</dcterms:created>
  <dcterms:modified xsi:type="dcterms:W3CDTF">2020-06-19T01:55:00Z</dcterms:modified>
</cp:coreProperties>
</file>