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24" w:rsidRPr="004B3024" w:rsidRDefault="004F7DBF" w:rsidP="004B3024">
      <w:pPr>
        <w:widowControl/>
        <w:spacing w:line="360" w:lineRule="exact"/>
        <w:jc w:val="center"/>
        <w:outlineLvl w:val="1"/>
        <w:rPr>
          <w:rFonts w:ascii="微軟正黑體" w:eastAsia="微軟正黑體" w:hAnsi="微軟正黑體" w:cs="新細明體"/>
          <w:color w:val="FF2A61"/>
          <w:kern w:val="0"/>
          <w:sz w:val="35"/>
          <w:szCs w:val="35"/>
        </w:rPr>
      </w:pPr>
      <w:bookmarkStart w:id="0" w:name="_GoBack"/>
      <w:r>
        <w:rPr>
          <w:rFonts w:ascii="微軟正黑體" w:eastAsia="微軟正黑體" w:hAnsi="微軟正黑體" w:cs="新細明體"/>
          <w:noProof/>
          <w:color w:val="FF8726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3A6DDA" wp14:editId="7B952047">
            <wp:simplePos x="0" y="0"/>
            <wp:positionH relativeFrom="column">
              <wp:posOffset>-546100</wp:posOffset>
            </wp:positionH>
            <wp:positionV relativeFrom="paragraph">
              <wp:posOffset>866775</wp:posOffset>
            </wp:positionV>
            <wp:extent cx="6285230" cy="3535045"/>
            <wp:effectExtent l="0" t="0" r="1270" b="8255"/>
            <wp:wrapTopAndBottom/>
            <wp:docPr id="1" name="圖片 1" descr="http://www.youthrights.org.tw/sites/youthrights.org.tw/files/styles/width660/public/news/image/%E5%BE%B5%E7%A8%BF%E9%80%9A%E7%9F%A5.001.jpeg?itok=BkY05U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thrights.org.tw/sites/youthrights.org.tw/files/styles/width660/public/news/image/%E5%BE%B5%E7%A8%BF%E9%80%9A%E7%9F%A5.001.jpeg?itok=BkY05U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t>2017第二屆聯合國兒童權利公約</w:t>
      </w:r>
      <w:r w:rsidR="004B3024" w:rsidRPr="004B3024">
        <w:rPr>
          <w:rFonts w:ascii="微軟正黑體" w:eastAsia="微軟正黑體" w:hAnsi="微軟正黑體" w:cs="新細明體" w:hint="eastAsia"/>
          <w:b/>
          <w:bCs/>
          <w:color w:val="FF2A61"/>
          <w:kern w:val="0"/>
          <w:sz w:val="35"/>
          <w:szCs w:val="35"/>
        </w:rPr>
        <w:br/>
        <w:t>「十八ㄊㄨㄥˊ人轉大人高峰會」引言徵文獎勵辦法</w:t>
      </w:r>
      <w:bookmarkEnd w:id="0"/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F7DBF" w:rsidRDefault="004F7DBF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在這個變動的社會，台灣12~24歲的青少年轉大人的需求是什麼？遇到哪些困境或阻礙？台少盟舉辦第二屆轉大人高峰會站在聯合國青年發展議題及《兒童權利公約》的基礎上，為青少年建構一個發聲平台，和NGO、政府部門及相關利害關係人，共同來解決這些困境，力挺台灣順利轉大人！</w:t>
      </w:r>
      <w:hyperlink r:id="rId8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活動詳情點我看這裡！！</w:t>
        </w:r>
      </w:hyperlink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CRC第20號一般性意見書（2016）強調，即使CRC載明所有未滿18歲兒童的權利都應受到保障。但兒童權利委員會發現，因為締約國不承認青少年享有權利，或鮮少投資相關措施，導致青少年的潛能經常無法全面發展，或受到破壞。本屆轉大人高峰會歡迎青少年及長期關注青少年的你，針對六大轉大人卡卡，聊聊你的觀點、看法，並針對相關政策提出具體建議，或是修法方向提供洞見！</w:t>
      </w:r>
    </w:p>
    <w:p w:rsidR="004B3024" w:rsidRPr="004B3024" w:rsidRDefault="004B3024" w:rsidP="004B3024">
      <w:pPr>
        <w:widowControl/>
        <w:spacing w:line="360" w:lineRule="exact"/>
        <w:jc w:val="center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誰適合來投稿？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12~24歲，具相關經驗的青少年，歡迎來到許願池。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關注該議題或服務青少年的一線工作者或議題倡導者，這麼做才有效。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主管機關相關業務承辦人，心酸障礙說給你聽。</w:t>
      </w:r>
    </w:p>
    <w:p w:rsidR="004B3024" w:rsidRPr="004B3024" w:rsidRDefault="004B3024" w:rsidP="004B3024">
      <w:pPr>
        <w:widowControl/>
        <w:numPr>
          <w:ilvl w:val="0"/>
          <w:numId w:val="1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主辦單位彙整各議題相關之參考資料，請見</w:t>
      </w:r>
      <w:hyperlink r:id="rId9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線上資訊庫</w:t>
        </w:r>
      </w:hyperlink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投</w:t>
      </w:r>
      <w:r w:rsidR="004F7DBF"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稿</w:t>
      </w: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形式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lastRenderedPageBreak/>
        <w:t>格式不限，漫畫、圖文、短片、文字皆可。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文字稿約1500~2000字，其他形式請檢附500字以內之文字說明。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請填寫</w:t>
      </w:r>
      <w:hyperlink r:id="rId10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相關表單後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，並將投稿稿件在2017年8月13日前上傳至 </w:t>
      </w:r>
      <w:hyperlink r:id="rId11" w:tgtFrame="_blank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https://goo.gl/9LKtYj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轉大人高峰會投稿專區即可。</w:t>
      </w:r>
    </w:p>
    <w:p w:rsidR="004B3024" w:rsidRPr="004B3024" w:rsidRDefault="004B3024" w:rsidP="004B3024">
      <w:pPr>
        <w:widowControl/>
        <w:numPr>
          <w:ilvl w:val="0"/>
          <w:numId w:val="2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有任何疑問，請來信 </w:t>
      </w:r>
      <w:hyperlink r:id="rId12" w:history="1">
        <w:r w:rsidRPr="004B3024">
          <w:rPr>
            <w:rFonts w:ascii="微軟正黑體" w:eastAsia="微軟正黑體" w:hAnsi="微軟正黑體" w:cs="新細明體" w:hint="eastAsia"/>
            <w:color w:val="FF2A61"/>
            <w:kern w:val="0"/>
            <w:szCs w:val="24"/>
            <w:u w:val="single"/>
          </w:rPr>
          <w:t>Awu@youthrights.org.tw</w:t>
        </w:r>
      </w:hyperlink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詢問。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有什麼獎勵？</w:t>
      </w:r>
    </w:p>
    <w:p w:rsidR="004B3024" w:rsidRPr="004B3024" w:rsidRDefault="004B3024" w:rsidP="004B3024">
      <w:pPr>
        <w:widowControl/>
        <w:spacing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所有的稿件，經審查委員會審議後，將視來稿內容的多元性、完整性、邏輯性，依主題挑選數篇給予下述獎勵：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入選：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刊登於「十八ㄊㄨㄥˊ人轉大人高峰會」論文集，給予稿費1000元及證明。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邀請參與轉大人高峰會，臺北市、新北市以外縣市參與者，酌予補助交通費用（實報實銷，以高鐵＋自強號為上限，請保留乘車憑證）；兩天全程參與者，再酌予補助住宿費用500元。</w:t>
      </w:r>
    </w:p>
    <w:p w:rsidR="004B3024" w:rsidRPr="004B3024" w:rsidRDefault="004B3024" w:rsidP="004B3024">
      <w:pPr>
        <w:widowControl/>
        <w:numPr>
          <w:ilvl w:val="0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發表：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刊登於「十八ㄊㄨㄥˊ人轉大人高峰會」論文集，並邀請參與該議題場次口頭發表，給予稿費與發表費用2000元及發表證明。</w:t>
      </w:r>
    </w:p>
    <w:p w:rsidR="004B3024" w:rsidRPr="004B3024" w:rsidRDefault="004B3024" w:rsidP="004B3024">
      <w:pPr>
        <w:widowControl/>
        <w:numPr>
          <w:ilvl w:val="1"/>
          <w:numId w:val="3"/>
        </w:numPr>
        <w:spacing w:before="100" w:beforeAutospacing="1" w:line="360" w:lineRule="exact"/>
        <w:jc w:val="both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臺北市、新北市以外縣市參與者，補助交通費用（實報實銷，來回以高鐵為上限，請保留乘車憑證）；兩天全程參與者，再酌予補助住宿費用500元。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Pr="004B3024" w:rsidRDefault="004B3024" w:rsidP="004B3024">
      <w:pPr>
        <w:widowControl/>
        <w:spacing w:line="360" w:lineRule="exact"/>
        <w:outlineLvl w:val="2"/>
        <w:rPr>
          <w:rFonts w:ascii="微軟正黑體" w:eastAsia="微軟正黑體" w:hAnsi="微軟正黑體" w:cs="新細明體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kern w:val="0"/>
          <w:sz w:val="30"/>
          <w:szCs w:val="30"/>
        </w:rPr>
        <w:t>怎麼投稿？稿件可以包含哪些內容呢？？</w:t>
      </w:r>
    </w:p>
    <w:p w:rsidR="004B3024" w:rsidRPr="004B3024" w:rsidRDefault="004B3024" w:rsidP="004B3024">
      <w:pPr>
        <w:widowControl/>
        <w:spacing w:before="100" w:beforeAutospacing="1" w:line="360" w:lineRule="exact"/>
        <w:ind w:left="720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請根據其中一個轉大人卡卡的議題，所盤點出來的討論問題方向，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根據你的經驗，分享台灣青少年的實際處境。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每個主題不需要回應所有的子議題，若對多個主題都有想法，請分別投稿。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參照相關的兒童權利公約的條文，談談你覺得和國際人權標準上，落差在哪裡？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為什麼會造成這些落差？是相關法令訂得不夠嚴謹？</w:t>
      </w:r>
    </w:p>
    <w:p w:rsidR="004B3024" w:rsidRPr="004B3024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或者是落實的問題？還是誰根本不夠重視？</w:t>
      </w:r>
    </w:p>
    <w:p w:rsidR="004B3024" w:rsidRPr="004F7DBF" w:rsidRDefault="004B3024" w:rsidP="004B3024">
      <w:pPr>
        <w:widowControl/>
        <w:numPr>
          <w:ilvl w:val="1"/>
          <w:numId w:val="4"/>
        </w:numPr>
        <w:spacing w:before="100" w:beforeAutospacing="1" w:line="360" w:lineRule="exact"/>
        <w:jc w:val="both"/>
        <w:outlineLvl w:val="2"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你覺得有效的解決方法會是什麼？什麼才是青少年真正需要的？</w:t>
      </w:r>
      <w:r w:rsidRPr="004B3024">
        <w:rPr>
          <w:rFonts w:ascii="微軟正黑體" w:eastAsia="微軟正黑體" w:hAnsi="微軟正黑體" w:cs="新細明體" w:hint="eastAsia"/>
          <w:color w:val="FF8726"/>
          <w:kern w:val="0"/>
          <w:sz w:val="30"/>
          <w:szCs w:val="30"/>
        </w:rPr>
        <w:t> </w:t>
      </w:r>
    </w:p>
    <w:p w:rsidR="004B3024" w:rsidRDefault="004B3024">
      <w:pPr>
        <w:widowControl/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sectPr w:rsidR="004B302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微軟正黑體" w:eastAsia="微軟正黑體" w:hAnsi="微軟正黑體" w:cs="新細明體"/>
          <w:color w:val="FF8726"/>
          <w:kern w:val="0"/>
          <w:sz w:val="30"/>
          <w:szCs w:val="30"/>
        </w:rPr>
        <w:br w:type="page"/>
      </w:r>
    </w:p>
    <w:p w:rsidR="004B3024" w:rsidRPr="004B3024" w:rsidRDefault="004B3024" w:rsidP="004B3024">
      <w:pPr>
        <w:widowControl/>
        <w:spacing w:line="360" w:lineRule="exact"/>
        <w:jc w:val="both"/>
        <w:outlineLvl w:val="2"/>
        <w:rPr>
          <w:rFonts w:ascii="微軟正黑體" w:eastAsia="微軟正黑體" w:hAnsi="微軟正黑體" w:cs="新細明體"/>
          <w:b/>
          <w:kern w:val="0"/>
          <w:sz w:val="30"/>
          <w:szCs w:val="30"/>
        </w:rPr>
      </w:pPr>
      <w:r w:rsidRPr="004B3024">
        <w:rPr>
          <w:rFonts w:ascii="微軟正黑體" w:eastAsia="微軟正黑體" w:hAnsi="微軟正黑體" w:cs="新細明體" w:hint="eastAsia"/>
          <w:b/>
          <w:kern w:val="0"/>
          <w:sz w:val="30"/>
          <w:szCs w:val="30"/>
        </w:rPr>
        <w:lastRenderedPageBreak/>
        <w:t>六大轉大人卡卡係蝦咪？？</w:t>
      </w:r>
    </w:p>
    <w:tbl>
      <w:tblPr>
        <w:tblW w:w="5000" w:type="pct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6"/>
        <w:gridCol w:w="4158"/>
        <w:gridCol w:w="3862"/>
        <w:gridCol w:w="3246"/>
      </w:tblGrid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【主題】轉大人卡卡卡？？？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我們需要一手經驗的你，有下述的權利需求的你，來對於這些議題表達想法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兒童權利公約及聯合國相關的人權觀點是.....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BFBFBF" w:themeFill="background1" w:themeFillShade="B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B3024" w:rsidRPr="004B3024" w:rsidRDefault="004B3024" w:rsidP="004B3024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4B3024">
              <w:rPr>
                <w:rFonts w:ascii="微軟正黑體" w:eastAsia="微軟正黑體" w:hAnsi="微軟正黑體" w:hint="eastAsia"/>
                <w:b/>
              </w:rPr>
              <w:t>國內相關的法令政策或相關說明回應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你累了嗎？你快樂嗎？忍一下，我都是為你好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第八節、第九節、第十節、晚自習、寒暑期輔導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借課（不會還的那種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教學正常化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休息、休閒、遊戲的權利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遊戲一定得有教育功能嗎？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CRC第31條</w:t>
            </w:r>
          </w:p>
          <w:p w:rsidR="004B3024" w:rsidRPr="004B3024" w:rsidRDefault="004B3024" w:rsidP="00A10671">
            <w:pPr>
              <w:widowControl/>
              <w:numPr>
                <w:ilvl w:val="0"/>
                <w:numId w:val="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CRC</w:t>
            </w:r>
            <w:hyperlink r:id="rId13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第17號一般性意見書</w:t>
              </w:r>
            </w:hyperlink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  <w:u w:val="single"/>
              </w:rPr>
              <w:t>國民中小學教學正常化實施要點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教育部主管高級中等學校學生在校作息時間規劃注意事項(含總說明)</w:t>
              </w:r>
            </w:hyperlink>
          </w:p>
          <w:p w:rsidR="004B3024" w:rsidRPr="004B3024" w:rsidRDefault="008D0A21" w:rsidP="004B3024">
            <w:pPr>
              <w:widowControl/>
              <w:numPr>
                <w:ilvl w:val="0"/>
                <w:numId w:val="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有關國中、高中的第八節課後輔導及寒暑假輔導說明   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只是剛開門，建立讓青少年表意的制度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直轄市及地方政府少年諮詢代表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校務會議學生代表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學生自治組織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服儀委員會、生活作息等校務參與程序（如：公聽會、投票....）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課程審議機制學生代表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青少年受邀參與各級政府相關會議之經驗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CRC第12條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CRC第12號一般性建議「兒童表達意見的權利」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兒童及少年福利與權益保障法  第5、10、41條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高級中等教育法  第25、52-55條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當少年在「天秤」和「生存」之間徘徊 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學校與各式教育/安置機構中失當的紀律執行</w:t>
            </w:r>
          </w:p>
          <w:p w:rsidR="004B3024" w:rsidRPr="004B3024" w:rsidRDefault="004B3024" w:rsidP="00CF6435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體罰及各種暴力</w:t>
            </w:r>
          </w:p>
          <w:p w:rsidR="004B3024" w:rsidRPr="004B3024" w:rsidRDefault="004B3024" w:rsidP="001C195B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在暴力從未消失的校園，聽學校防治霸凌</w:t>
            </w:r>
          </w:p>
          <w:p w:rsidR="004B3024" w:rsidRPr="004B3024" w:rsidRDefault="004B3024" w:rsidP="00B72E8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觸法與被引誘觸法的少年說給你聽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台灣的少年司法體系，是以正向和身心重建為目標嗎？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安置、收容、矯正學校等司法轉向制度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CRC第37條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第8號一般性建議「兒童受保護免遭體罰和其他殘忍或不人道形式懲罰的權利」</w:t>
              </w:r>
            </w:hyperlink>
          </w:p>
          <w:p w:rsidR="004B3024" w:rsidRPr="004B3024" w:rsidRDefault="008D0A21" w:rsidP="004B3024">
            <w:pPr>
              <w:widowControl/>
              <w:numPr>
                <w:ilvl w:val="0"/>
                <w:numId w:val="1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第13號一般性建議「兒童免遭一切形式暴力侵害的權利」</w:t>
              </w:r>
            </w:hyperlink>
            <w:r w:rsidR="004B3024"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CRC第40條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CRC第39條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1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19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第10號一般性建議「少年司法中的兒童權利」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Arial"/>
                <w:color w:val="545454"/>
                <w:kern w:val="0"/>
                <w:szCs w:val="24"/>
              </w:rPr>
              <w:t>《教育基本法》第8條及第15條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0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學校訂定教師輔導與管教學生辦法注意事項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5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少年事件處理法</w:t>
            </w:r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文化/媒體/科技，作為一種積極參與的權利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青少年組織且主導的社會團體，需要哪些支持與充權？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青少年的文化平權與文化參與權利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媒體近用權利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兒少參與電視節目面面觀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從各式來源取得有用的資訊的權利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6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從「資訊科技使用」回應「網路成癮」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CRC第15條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1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聯合國集會結社權利的特別報告（摘青少年部分）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CRC第31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2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第17號一般性建議「兒童休閒權」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17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CRC第17條</w:t>
            </w:r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8D0A21" w:rsidP="004B3024">
            <w:pPr>
              <w:widowControl/>
              <w:numPr>
                <w:ilvl w:val="0"/>
                <w:numId w:val="18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3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社會團體法（行政院草案）</w:t>
              </w:r>
            </w:hyperlink>
          </w:p>
        </w:tc>
      </w:tr>
      <w:tr w:rsidR="004B3024" w:rsidRPr="004B3024" w:rsidTr="004B3024"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lastRenderedPageBreak/>
              <w:t>愛的發聲練習</w:t>
            </w:r>
            <w:r w:rsidRPr="004B3024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怕學壞？長大以後就懂了？從性/性別/情感教育轉大人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你需要什麼樣的性教育、性別教育、情感教育？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什麼時候應該學？誰應該教？教什麼？怎麼教？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19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青少年眼中，除了課程的「教」之外，更重要的還有....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CRC第24條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CRC第20號一般性意見書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4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第4號一般性建議「少年健康與發展」</w:t>
              </w:r>
            </w:hyperlink>
          </w:p>
          <w:p w:rsidR="004B3024" w:rsidRPr="004B3024" w:rsidRDefault="008D0A21" w:rsidP="004B3024">
            <w:pPr>
              <w:widowControl/>
              <w:numPr>
                <w:ilvl w:val="0"/>
                <w:numId w:val="20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5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第15號一般性建議「關於兒童享有可達到的最高標準健康的權利問題」</w:t>
              </w:r>
            </w:hyperlink>
          </w:p>
          <w:p w:rsidR="004B3024" w:rsidRPr="004B3024" w:rsidRDefault="008D0A21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6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歐盟人權委員會</w:t>
              </w:r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br/>
                <w:t>權利評論</w:t>
              </w:r>
            </w:hyperlink>
          </w:p>
          <w:p w:rsidR="004B3024" w:rsidRPr="004B3024" w:rsidRDefault="008D0A21" w:rsidP="004B3024">
            <w:pPr>
              <w:widowControl/>
              <w:numPr>
                <w:ilvl w:val="0"/>
                <w:numId w:val="20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7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經社文公約第22號一般性意見書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1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性別平等教育法</w:t>
            </w:r>
          </w:p>
        </w:tc>
      </w:tr>
      <w:tr w:rsidR="004B3024" w:rsidRPr="004B3024" w:rsidTr="004B3024">
        <w:trPr>
          <w:trHeight w:val="3615"/>
        </w:trPr>
        <w:tc>
          <w:tcPr>
            <w:tcW w:w="960" w:type="pct"/>
            <w:tcBorders>
              <w:top w:val="outset" w:sz="6" w:space="0" w:color="AAAAAA"/>
              <w:left w:val="outset" w:sz="6" w:space="0" w:color="AAAAAA"/>
              <w:bottom w:val="single" w:sz="6" w:space="0" w:color="AAAAAA"/>
              <w:right w:val="outset" w:sz="6" w:space="0" w:color="AAAAAA"/>
            </w:tcBorders>
            <w:shd w:val="clear" w:color="auto" w:fill="F2F2F2" w:themeFill="background1" w:themeFillShade="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spacing w:before="225"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青少年真薪苦！</w:t>
            </w:r>
            <w:r w:rsidRPr="004B3024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br/>
              <w:t>青少年需要的「國家級就業行動計劃」</w:t>
            </w:r>
          </w:p>
        </w:tc>
        <w:tc>
          <w:tcPr>
            <w:tcW w:w="1491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未滿18歲的少年可以在深夜工作嗎？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未滿18歲的少年適合單獨工作嗎？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夜市/流動攤販（賣吃的）竟然不適用勞基法？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 = 次等勞工？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你有這樣的經驗？未達基本工資、沒有勞健保、苛扣薪資、未依規定給加班費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我是老師，勞動教育這樣教！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青少年需要哪些職業相關訊息？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2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職涯探索、勞動教育、就業力提升、尊嚴勞動與穩定就業</w:t>
            </w:r>
          </w:p>
        </w:tc>
        <w:tc>
          <w:tcPr>
            <w:tcW w:w="1385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lastRenderedPageBreak/>
              <w:t>CRC第28條</w:t>
            </w:r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CRC第32條</w:t>
            </w:r>
          </w:p>
          <w:p w:rsidR="004B3024" w:rsidRPr="004B3024" w:rsidRDefault="008D0A21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hyperlink r:id="rId28" w:tgtFrame="_blank" w:history="1">
              <w:r w:rsidR="004B3024"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第16號一般性建議「商業部門對兒童權利之影響與國家義務」</w:t>
              </w:r>
            </w:hyperlink>
          </w:p>
          <w:p w:rsidR="004B3024" w:rsidRPr="004B3024" w:rsidRDefault="004B3024" w:rsidP="004B3024">
            <w:pPr>
              <w:widowControl/>
              <w:numPr>
                <w:ilvl w:val="0"/>
                <w:numId w:val="23"/>
              </w:numPr>
              <w:spacing w:before="225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 </w:t>
            </w:r>
            <w:hyperlink r:id="rId29" w:tgtFrame="_blank" w:history="1"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ILO 第171號 夜間工作公約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  <w:r w:rsidRPr="004B3024">
                <w:rPr>
                  <w:rFonts w:ascii="微軟正黑體" w:eastAsia="微軟正黑體" w:hAnsi="微軟正黑體" w:cs="新細明體"/>
                  <w:color w:val="FF2A61"/>
                  <w:kern w:val="0"/>
                  <w:szCs w:val="24"/>
                  <w:u w:val="single"/>
                </w:rPr>
                <w:t>（1990）</w:t>
              </w:r>
              <w:r w:rsidRPr="004B3024">
                <w:rPr>
                  <w:rFonts w:ascii="MS Gothic" w:eastAsia="MS Gothic" w:hAnsi="MS Gothic" w:cs="MS Gothic" w:hint="eastAsia"/>
                  <w:color w:val="FF2A61"/>
                  <w:kern w:val="0"/>
                  <w:szCs w:val="24"/>
                  <w:u w:val="single"/>
                </w:rPr>
                <w:t>​</w:t>
              </w:r>
            </w:hyperlink>
          </w:p>
        </w:tc>
        <w:tc>
          <w:tcPr>
            <w:tcW w:w="11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3024" w:rsidRPr="004B3024" w:rsidRDefault="004B3024" w:rsidP="004B3024">
            <w:pPr>
              <w:widowControl/>
              <w:numPr>
                <w:ilvl w:val="0"/>
                <w:numId w:val="24"/>
              </w:numPr>
              <w:spacing w:before="100" w:beforeAutospacing="1" w:line="320" w:lineRule="exact"/>
              <w:ind w:leftChars="51" w:left="482"/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</w:pPr>
            <w:r w:rsidRPr="004B3024">
              <w:rPr>
                <w:rFonts w:ascii="微軟正黑體" w:eastAsia="微軟正黑體" w:hAnsi="微軟正黑體" w:cs="新細明體"/>
                <w:color w:val="737373"/>
                <w:kern w:val="0"/>
                <w:szCs w:val="24"/>
              </w:rPr>
              <w:t>勞動基準法</w:t>
            </w:r>
          </w:p>
        </w:tc>
      </w:tr>
    </w:tbl>
    <w:p w:rsidR="00C90B56" w:rsidRPr="004B3024" w:rsidRDefault="00C90B56" w:rsidP="004B3024">
      <w:pPr>
        <w:spacing w:line="360" w:lineRule="exact"/>
      </w:pPr>
    </w:p>
    <w:sectPr w:rsidR="00C90B56" w:rsidRPr="004B3024" w:rsidSect="004B3024">
      <w:pgSz w:w="16838" w:h="11906" w:orient="landscape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21" w:rsidRDefault="008D0A21" w:rsidP="004B3024">
      <w:r>
        <w:separator/>
      </w:r>
    </w:p>
  </w:endnote>
  <w:endnote w:type="continuationSeparator" w:id="0">
    <w:p w:rsidR="008D0A21" w:rsidRDefault="008D0A21" w:rsidP="004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21" w:rsidRDefault="008D0A21" w:rsidP="004B3024">
      <w:r>
        <w:separator/>
      </w:r>
    </w:p>
  </w:footnote>
  <w:footnote w:type="continuationSeparator" w:id="0">
    <w:p w:rsidR="008D0A21" w:rsidRDefault="008D0A21" w:rsidP="004B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BB8"/>
    <w:multiLevelType w:val="multilevel"/>
    <w:tmpl w:val="62BC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74713"/>
    <w:multiLevelType w:val="multilevel"/>
    <w:tmpl w:val="D91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7E78"/>
    <w:multiLevelType w:val="multilevel"/>
    <w:tmpl w:val="3456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1DAF"/>
    <w:multiLevelType w:val="multilevel"/>
    <w:tmpl w:val="D07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57832"/>
    <w:multiLevelType w:val="multilevel"/>
    <w:tmpl w:val="CD7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4939"/>
    <w:multiLevelType w:val="multilevel"/>
    <w:tmpl w:val="B75A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860E9"/>
    <w:multiLevelType w:val="multilevel"/>
    <w:tmpl w:val="096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44473"/>
    <w:multiLevelType w:val="multilevel"/>
    <w:tmpl w:val="F9FA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527F7"/>
    <w:multiLevelType w:val="multilevel"/>
    <w:tmpl w:val="F7FC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13D77"/>
    <w:multiLevelType w:val="multilevel"/>
    <w:tmpl w:val="744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1191D"/>
    <w:multiLevelType w:val="multilevel"/>
    <w:tmpl w:val="3A1C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D70D5"/>
    <w:multiLevelType w:val="multilevel"/>
    <w:tmpl w:val="B44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C52E2"/>
    <w:multiLevelType w:val="multilevel"/>
    <w:tmpl w:val="D69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01C7C"/>
    <w:multiLevelType w:val="multilevel"/>
    <w:tmpl w:val="D8C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03ECA"/>
    <w:multiLevelType w:val="multilevel"/>
    <w:tmpl w:val="0D3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E43D2"/>
    <w:multiLevelType w:val="multilevel"/>
    <w:tmpl w:val="44E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00C6A"/>
    <w:multiLevelType w:val="multilevel"/>
    <w:tmpl w:val="EAF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04FE6"/>
    <w:multiLevelType w:val="multilevel"/>
    <w:tmpl w:val="D84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A145E"/>
    <w:multiLevelType w:val="multilevel"/>
    <w:tmpl w:val="3F3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539AF"/>
    <w:multiLevelType w:val="multilevel"/>
    <w:tmpl w:val="7B4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058D2"/>
    <w:multiLevelType w:val="multilevel"/>
    <w:tmpl w:val="863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45183"/>
    <w:multiLevelType w:val="multilevel"/>
    <w:tmpl w:val="9AA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73907"/>
    <w:multiLevelType w:val="multilevel"/>
    <w:tmpl w:val="1294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511E3"/>
    <w:multiLevelType w:val="multilevel"/>
    <w:tmpl w:val="CB5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19"/>
  </w:num>
  <w:num w:numId="6">
    <w:abstractNumId w:val="14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20"/>
  </w:num>
  <w:num w:numId="14">
    <w:abstractNumId w:val="12"/>
  </w:num>
  <w:num w:numId="15">
    <w:abstractNumId w:val="9"/>
  </w:num>
  <w:num w:numId="16">
    <w:abstractNumId w:val="2"/>
  </w:num>
  <w:num w:numId="17">
    <w:abstractNumId w:val="22"/>
  </w:num>
  <w:num w:numId="18">
    <w:abstractNumId w:val="16"/>
  </w:num>
  <w:num w:numId="19">
    <w:abstractNumId w:val="17"/>
  </w:num>
  <w:num w:numId="20">
    <w:abstractNumId w:val="23"/>
  </w:num>
  <w:num w:numId="21">
    <w:abstractNumId w:val="21"/>
  </w:num>
  <w:num w:numId="22">
    <w:abstractNumId w:val="1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E4"/>
    <w:rsid w:val="000F486C"/>
    <w:rsid w:val="003A1194"/>
    <w:rsid w:val="004B3024"/>
    <w:rsid w:val="004F7DBF"/>
    <w:rsid w:val="00836E71"/>
    <w:rsid w:val="008C36E4"/>
    <w:rsid w:val="008D0A21"/>
    <w:rsid w:val="00A10671"/>
    <w:rsid w:val="00A97B95"/>
    <w:rsid w:val="00C90B56"/>
    <w:rsid w:val="00C90D65"/>
    <w:rsid w:val="00D5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8F032-7975-4FE3-BA37-5B3EAD4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B302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302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0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024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B302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B302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4B3024"/>
    <w:rPr>
      <w:b/>
      <w:bCs/>
    </w:rPr>
  </w:style>
  <w:style w:type="paragraph" w:customStyle="1" w:styleId="rtejustify">
    <w:name w:val="rtejustify"/>
    <w:basedOn w:val="a"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4B302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3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0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28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rights.org.tw/civicrm/event/info?reset=1&amp;id=47" TargetMode="External"/><Relationship Id="rId13" Type="http://schemas.openxmlformats.org/officeDocument/2006/relationships/hyperlink" Target="http://crc.sfaa.gov.tw/show_doc_area_download.php?area=document&amp;id=81&amp;serno=17" TargetMode="External"/><Relationship Id="rId18" Type="http://schemas.openxmlformats.org/officeDocument/2006/relationships/hyperlink" Target="http://crc.sfaa.gov.tw/show_doc_area_download.php?area=document&amp;id=81&amp;serno=13" TargetMode="External"/><Relationship Id="rId26" Type="http://schemas.openxmlformats.org/officeDocument/2006/relationships/hyperlink" Target="http://www.coe.int/en/web/commissioner/-/lgbti-children-have-the-right-to-safety-and-equal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vernote.com/shard/s284/sh/094c9146-28ae-465c-80a2-ca2b5b63a0d4/8864b37c6391ce86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wu@youthrights.org.tw" TargetMode="External"/><Relationship Id="rId17" Type="http://schemas.openxmlformats.org/officeDocument/2006/relationships/hyperlink" Target="http://crc.sfaa.gov.tw/show_doc_area_download.php?area=document&amp;id=81&amp;serno=8" TargetMode="External"/><Relationship Id="rId25" Type="http://schemas.openxmlformats.org/officeDocument/2006/relationships/hyperlink" Target="http://crc.sfaa.gov.tw/show_doc_area_download.php?area=document&amp;id=81&amp;serno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crc.sfaa.gov.tw/show_doc_area_download.php?area=document&amp;id=81&amp;serno=12" TargetMode="External"/><Relationship Id="rId20" Type="http://schemas.openxmlformats.org/officeDocument/2006/relationships/hyperlink" Target="http://edu.law.moe.gov.tw/LawContentDetails.aspx?id=GL001536&amp;KeyWordHL=" TargetMode="External"/><Relationship Id="rId29" Type="http://schemas.openxmlformats.org/officeDocument/2006/relationships/hyperlink" Target="https://goo.gl/aEJR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9LKtYj" TargetMode="External"/><Relationship Id="rId24" Type="http://schemas.openxmlformats.org/officeDocument/2006/relationships/hyperlink" Target="http://crc.sfaa.gov.tw/show_doc_area_download.php?area=document&amp;id=81&amp;serno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u.tw/News_Content.aspx?n=9E7AC85F1954DDA8&amp;s=781E50A3E8CD1756" TargetMode="External"/><Relationship Id="rId23" Type="http://schemas.openxmlformats.org/officeDocument/2006/relationships/hyperlink" Target="http://www.ey.gov.tw/News_Content2.aspx?n=F8BAEBE9491FC830&amp;s=242EF7CC820F68EC" TargetMode="External"/><Relationship Id="rId28" Type="http://schemas.openxmlformats.org/officeDocument/2006/relationships/hyperlink" Target="http://crc.sfaa.gov.tw/show_doc_area_download.php?area=document&amp;id=81&amp;serno=16" TargetMode="External"/><Relationship Id="rId10" Type="http://schemas.openxmlformats.org/officeDocument/2006/relationships/hyperlink" Target="https://goo.gl/WP8n49" TargetMode="External"/><Relationship Id="rId19" Type="http://schemas.openxmlformats.org/officeDocument/2006/relationships/hyperlink" Target="http://crc.sfaa.gov.tw/show_doc_area_download.php?area=document&amp;id=81&amp;serno=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eta.hackfoldr.org/Youth18CRC/https%253A%252F%252Fhackmd.io%252Fs%252FrJbju83Bb" TargetMode="External"/><Relationship Id="rId14" Type="http://schemas.openxmlformats.org/officeDocument/2006/relationships/hyperlink" Target="https://www.google.com.tw/url?sa=t&amp;rct=j&amp;q=&amp;esrc=s&amp;source=web&amp;cd=1&amp;cad=rja&amp;uact=8&amp;ved=0ahUKEwiL3e_KrbDVAhXFvrwKHQuXAZkQFggkMAA&amp;url=http%3A%2F%2Fwww.k12ea.gov.tw%2Ffiles%2Fcommon_unit%2F6673c808-791b-4749-b72e-57da24ef3b48%2Fdoc%2F4036_%25E6%2595%252" TargetMode="External"/><Relationship Id="rId22" Type="http://schemas.openxmlformats.org/officeDocument/2006/relationships/hyperlink" Target="http://crc.sfaa.gov.tw/show_doc_area_download.php?area=document&amp;id=81&amp;serno=17" TargetMode="External"/><Relationship Id="rId27" Type="http://schemas.openxmlformats.org/officeDocument/2006/relationships/hyperlink" Target="https://goo.gl/u3tlH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Chinwei</dc:creator>
  <cp:keywords/>
  <dc:description/>
  <cp:lastModifiedBy>123</cp:lastModifiedBy>
  <cp:revision>2</cp:revision>
  <dcterms:created xsi:type="dcterms:W3CDTF">2017-08-14T02:57:00Z</dcterms:created>
  <dcterms:modified xsi:type="dcterms:W3CDTF">2017-08-14T02:57:00Z</dcterms:modified>
</cp:coreProperties>
</file>